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F56F" w14:textId="77777777" w:rsidR="002D66A2" w:rsidRDefault="002D66A2" w:rsidP="00D46799">
      <w:pPr>
        <w:spacing w:before="100" w:beforeAutospacing="1" w:after="100" w:afterAutospacing="1"/>
        <w:jc w:val="center"/>
        <w:rPr>
          <w:rFonts w:ascii="Arial" w:eastAsia="Times New Roman" w:hAnsi="Arial" w:cs="Arial"/>
          <w:b/>
          <w:bCs/>
          <w:color w:val="000000"/>
          <w:sz w:val="22"/>
          <w:szCs w:val="22"/>
        </w:rPr>
      </w:pPr>
    </w:p>
    <w:p w14:paraId="0AAEE0EC" w14:textId="3A5B9BA6" w:rsidR="00D46799" w:rsidRPr="000310D4" w:rsidRDefault="00D46799" w:rsidP="00D46799">
      <w:pPr>
        <w:spacing w:before="100" w:beforeAutospacing="1" w:after="100" w:afterAutospacing="1"/>
        <w:jc w:val="center"/>
        <w:rPr>
          <w:rFonts w:ascii="Arial" w:eastAsia="Times New Roman" w:hAnsi="Arial" w:cs="Arial"/>
          <w:color w:val="000000"/>
          <w:sz w:val="22"/>
          <w:szCs w:val="22"/>
        </w:rPr>
      </w:pPr>
      <w:r w:rsidRPr="000310D4">
        <w:rPr>
          <w:rFonts w:ascii="Arial" w:eastAsia="Times New Roman" w:hAnsi="Arial" w:cs="Arial"/>
          <w:b/>
          <w:bCs/>
          <w:color w:val="000000"/>
          <w:sz w:val="22"/>
          <w:szCs w:val="22"/>
        </w:rPr>
        <w:t>Counseling as a Professional Degree: Evidence that the Counseling Field Meets the Core Requirements of a Recognized Profession</w:t>
      </w:r>
    </w:p>
    <w:p w14:paraId="71F778B3"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A recognized profession must satisfy structural and functional benchmarks that distinguish it from academic or technical fields. Foundational sociological definitions characterize a profession as requiring (a) specialized graduate-level education anchored in a codified and evolving knowledge base, (b) public service orientation, (c) ethical accountability enforceable through national standards, (d) self-regulation through independent credentialing and accreditation, (e) statutory licensure with protected scopes of practice, and (f) demonstrable contributions to the public good (Goode, 1960; Wilensky, 1964). The counseling profession not only meets these criteria but has built one of the most comprehensive professional infrastructures among human-service disciplines to sustain them.</w:t>
      </w:r>
    </w:p>
    <w:p w14:paraId="3DDE695B"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b/>
          <w:bCs/>
          <w:color w:val="000000"/>
          <w:sz w:val="22"/>
          <w:szCs w:val="22"/>
        </w:rPr>
        <w:t>Specialized Graduate-Level Preparation Grounded in a Formal Knowledge Base</w:t>
      </w:r>
    </w:p>
    <w:p w14:paraId="187CAB7E" w14:textId="4907E02C" w:rsidR="00D46799" w:rsidRPr="000310D4" w:rsidRDefault="00F8517A" w:rsidP="00D46799">
      <w:pPr>
        <w:spacing w:before="100" w:beforeAutospacing="1" w:after="100" w:afterAutospacing="1"/>
        <w:rPr>
          <w:rFonts w:ascii="Arial" w:eastAsia="Times New Roman" w:hAnsi="Arial" w:cs="Arial"/>
          <w:color w:val="000000"/>
          <w:sz w:val="22"/>
          <w:szCs w:val="22"/>
        </w:rPr>
      </w:pPr>
      <w:bookmarkStart w:id="0" w:name="_Hlk219209986"/>
      <w:r w:rsidRPr="002E4D2F">
        <w:rPr>
          <w:rFonts w:ascii="Arial" w:eastAsia="Times New Roman" w:hAnsi="Arial" w:cs="Arial"/>
          <w:color w:val="000000"/>
          <w:sz w:val="22"/>
          <w:szCs w:val="22"/>
        </w:rPr>
        <w:t>Each state and jurisdiction requires licensure as a professional counselor to practice and provide professional counseling services. Licensure eligibility requires the completion of a master’s degree.</w:t>
      </w:r>
      <w:r>
        <w:rPr>
          <w:rFonts w:ascii="Arial" w:eastAsia="Times New Roman" w:hAnsi="Arial" w:cs="Arial"/>
          <w:color w:val="000000"/>
          <w:sz w:val="22"/>
          <w:szCs w:val="22"/>
        </w:rPr>
        <w:t xml:space="preserve"> </w:t>
      </w:r>
      <w:bookmarkEnd w:id="0"/>
      <w:r w:rsidR="00D46799" w:rsidRPr="000310D4">
        <w:rPr>
          <w:rFonts w:ascii="Arial" w:eastAsia="Times New Roman" w:hAnsi="Arial" w:cs="Arial"/>
          <w:color w:val="000000"/>
          <w:sz w:val="22"/>
          <w:szCs w:val="22"/>
        </w:rPr>
        <w:t>Counseling is anchored in graduate professional preparation, not disciplinary undergraduate study. The master’s degree is the established entry credential for independent practice in clinical mental health, school,</w:t>
      </w:r>
      <w:r>
        <w:rPr>
          <w:rFonts w:ascii="Arial" w:eastAsia="Times New Roman" w:hAnsi="Arial" w:cs="Arial"/>
          <w:color w:val="000000"/>
          <w:sz w:val="22"/>
          <w:szCs w:val="22"/>
        </w:rPr>
        <w:t xml:space="preserve"> and</w:t>
      </w:r>
      <w:r w:rsidR="00D46799" w:rsidRPr="000310D4">
        <w:rPr>
          <w:rFonts w:ascii="Arial" w:eastAsia="Times New Roman" w:hAnsi="Arial" w:cs="Arial"/>
          <w:color w:val="000000"/>
          <w:sz w:val="22"/>
          <w:szCs w:val="22"/>
        </w:rPr>
        <w:t xml:space="preserve"> rehabilitation</w:t>
      </w:r>
      <w:r>
        <w:rPr>
          <w:rFonts w:ascii="Arial" w:eastAsia="Times New Roman" w:hAnsi="Arial" w:cs="Arial"/>
          <w:color w:val="000000"/>
          <w:sz w:val="22"/>
          <w:szCs w:val="22"/>
        </w:rPr>
        <w:t xml:space="preserve"> </w:t>
      </w:r>
      <w:r w:rsidR="00D46799" w:rsidRPr="000310D4">
        <w:rPr>
          <w:rFonts w:ascii="Arial" w:eastAsia="Times New Roman" w:hAnsi="Arial" w:cs="Arial"/>
          <w:color w:val="000000"/>
          <w:sz w:val="22"/>
          <w:szCs w:val="22"/>
        </w:rPr>
        <w:t>counseling (Hanna &amp; Bemak, 1997). Counseling curricula are intentionally applied, integrating human development, vocational behavior, trauma and crisis response, prevention science, group dynamics, diagnosis, treatment planning, mental-health assessment, suicide and addiction intervention, and career development services. These competencies reflect a distinct, codified knowledge base that evolves through peer-reviewed scholarship, professional consensus, and workforce outcome research. Unlike academic degrees that emphasize theory without applied practice, counseling degrees operationalize professional skill development through sequenced coursework and supervised clinical training. Programs emphasize client-centered treatment, evidence-based intervention, career and educational planning, cultural responsiveness, crisis stabilization, and community-based care, confirming the master’s degree as a professional practice credential with direct public-service accountability.</w:t>
      </w:r>
    </w:p>
    <w:p w14:paraId="01CBB5AD"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b/>
          <w:bCs/>
          <w:color w:val="000000"/>
          <w:sz w:val="22"/>
          <w:szCs w:val="22"/>
        </w:rPr>
        <w:t>Ethical Accountability and Consumer Protection</w:t>
      </w:r>
    </w:p>
    <w:p w14:paraId="7F056A76" w14:textId="4C3FD591"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 xml:space="preserve">A core requirement of a profession is enforceable ethical oversight and consumer protection. The counseling profession maintains a unified national ethical code through the American Counseling Association (ACA, 2014). This code emphasizes nondiscrimination, client autonomy, confidentiality, informed consent, cultural responsiveness, evidence-based practice, technology-mediated service safeguards, and protections relevant to digital mental-health and AI-driven employment transitions. Ethical violations are actionable through state licensing boards, national credentialing bodies, and educational accreditation agencies, creating a multi-layered consumer-protection system. The ACA Code of Ethics explicitly centers client welfare, equity, dignity, and data security, reinforcing counseling’s professional-degree status grounded in public </w:t>
      </w:r>
      <w:r w:rsidR="00F8517A">
        <w:rPr>
          <w:rFonts w:ascii="Arial" w:eastAsia="Times New Roman" w:hAnsi="Arial" w:cs="Arial"/>
          <w:color w:val="000000"/>
          <w:sz w:val="22"/>
          <w:szCs w:val="22"/>
        </w:rPr>
        <w:t xml:space="preserve">safety </w:t>
      </w:r>
      <w:r w:rsidRPr="000310D4">
        <w:rPr>
          <w:rFonts w:ascii="Arial" w:eastAsia="Times New Roman" w:hAnsi="Arial" w:cs="Arial"/>
          <w:color w:val="000000"/>
          <w:sz w:val="22"/>
          <w:szCs w:val="22"/>
        </w:rPr>
        <w:t>rather than academic abstraction.</w:t>
      </w:r>
    </w:p>
    <w:p w14:paraId="0DD22F0D"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b/>
          <w:bCs/>
          <w:color w:val="000000"/>
          <w:sz w:val="22"/>
          <w:szCs w:val="22"/>
        </w:rPr>
        <w:t>Self-Regulation Through Independent Credentialing and Accreditation</w:t>
      </w:r>
    </w:p>
    <w:p w14:paraId="5363CBC8"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 xml:space="preserve">Professions maintain internal governance systems that set and enforce educational and practice standards. The counseling field operates the largest national credentialing system for counselors through the National Board for Certified Counselors (NBCC), which grants the National Certified Counselor (NCC) credential. Eligibility for the NCC requires a graduate degree, passing a national examination, ethical compliance, and continuing-education maintenance, reflecting formalized self-regulation consistent with professional-degree expectations. In parallel, counseling programs are regulated through the Council for Accreditation of Counseling and Related Educational Programs (CACREP). CACREP establishes enforceable program standards including 60-credit master’s degree training models, supervised fieldwork requirements, assessment and treatment competencies, career development preparation, counselor identity development, clinical hour minimums, and workforce readiness outcomes (CACREP, 2024). The presence of independent credentialing </w:t>
      </w:r>
      <w:r w:rsidRPr="000310D4">
        <w:rPr>
          <w:rFonts w:ascii="Arial" w:eastAsia="Times New Roman" w:hAnsi="Arial" w:cs="Arial"/>
          <w:color w:val="000000"/>
          <w:sz w:val="22"/>
          <w:szCs w:val="22"/>
        </w:rPr>
        <w:lastRenderedPageBreak/>
        <w:t>and national accreditation, each externally verifiable and enforceable, confirms counseling’s status as a self-regulated profession rather than an unstandardized academic degree.</w:t>
      </w:r>
    </w:p>
    <w:p w14:paraId="368D8B21"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b/>
          <w:bCs/>
          <w:color w:val="000000"/>
          <w:sz w:val="22"/>
          <w:szCs w:val="22"/>
        </w:rPr>
        <w:t>State Licensure with Statutory Authority</w:t>
      </w:r>
    </w:p>
    <w:p w14:paraId="6F1F31CC"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A defining marker of a profession is government-granted licensure for independent practice. Counseling is licensed in all 50 U.S. states, the District of Columbia, and U.S. territories, most commonly under the Licensed Professional Counselor (LPC) credential. Licensure statutes protect counseling scopes of practice and authorize state boards to enforce disciplinary action. Licensure requirements include graduate-level training, supervised clinical hours, national exam passage, background vetting, ethical compliance, and continuing-education maintenance. This licensure system parallels or exceeds that of other licensed behavioral health professions, confirming counseling’s statutory authority and reinforcing the counseling degree as a professional credential rather than an academic classification.</w:t>
      </w:r>
    </w:p>
    <w:p w14:paraId="1AC663E3"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b/>
          <w:bCs/>
          <w:color w:val="000000"/>
          <w:sz w:val="22"/>
          <w:szCs w:val="22"/>
        </w:rPr>
        <w:t>Service to the Public Good and National Workforce Contribution</w:t>
      </w:r>
    </w:p>
    <w:p w14:paraId="47F2A9D8"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A profession must demonstrate measurable societal impact. Counselors serve more than 100 million Americans annually across K–12 schools, community clinics, hospitals, rehabilitation centers, universities, addiction-treatment facilities, Veteran and military-family support programs, disaster-response networks, and workforce reintegration systems (Substance Abuse and Mental Health Services Administration [SAMHSA], 2024; U.S. Department of Education, 2023). Counseling uniquely integrates mental-health treatment with career and educational planning, addressing workforce participation, job-transition resilience, school safety, Veteran reintegration, youth career readiness, addiction recovery, disability employment equity, trauma stabilization, and suicide prevention. Counseling therefore fulfills an essential public-good mandate that directly supports national stability, public health, educational access, workforce participation, school climate safety, and economic mobility.</w:t>
      </w:r>
    </w:p>
    <w:p w14:paraId="436AAE04"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b/>
          <w:bCs/>
          <w:color w:val="000000"/>
          <w:sz w:val="22"/>
          <w:szCs w:val="22"/>
        </w:rPr>
        <w:t>Conclusion</w:t>
      </w:r>
    </w:p>
    <w:p w14:paraId="6EA2B487"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Counseling is a graduate-trained professional degree that satisfies all primary benchmarks of a recognized profession: specialized graduate-level education, ethical accountability, independent credentialing and accreditation, statutory licensure, and demonstrable contributions to the public good. Counseling degrees are intentionally sequenced for professional practice, protected by national ethical standards, regulated through external accreditation, and licensed by state governments with statutory oversight. Counselors deliver large-scale mental-health, crisis-stabilization, addiction-treatment, career-development, and educational-planning services that reinforce national workforce participation and public-service impact. The counseling profession therefore merits continued federal recognition and inclusion in public-health, education, and workforce policy frameworks.</w:t>
      </w:r>
    </w:p>
    <w:p w14:paraId="72F4A084" w14:textId="77777777" w:rsidR="00D46799" w:rsidRPr="000310D4" w:rsidRDefault="00B06B4C" w:rsidP="00D46799">
      <w:pPr>
        <w:rPr>
          <w:rFonts w:ascii="Arial" w:eastAsia="Times New Roman" w:hAnsi="Arial" w:cs="Arial"/>
          <w:sz w:val="22"/>
          <w:szCs w:val="22"/>
        </w:rPr>
      </w:pPr>
      <w:r>
        <w:rPr>
          <w:rFonts w:ascii="Arial" w:eastAsia="Times New Roman" w:hAnsi="Arial" w:cs="Arial"/>
          <w:noProof/>
          <w:sz w:val="22"/>
          <w:szCs w:val="22"/>
        </w:rPr>
        <w:pict w14:anchorId="1FFEBD3F">
          <v:rect id="_x0000_i1025" alt="" style="width:468pt;height:.05pt;mso-width-percent:0;mso-height-percent:0;mso-width-percent:0;mso-height-percent:0" o:hralign="center" o:hrstd="t" o:hr="t" fillcolor="#a0a0a0" stroked="f"/>
        </w:pict>
      </w:r>
    </w:p>
    <w:p w14:paraId="2DBEE35D" w14:textId="77777777" w:rsidR="00D46799" w:rsidRPr="000310D4" w:rsidRDefault="00D46799" w:rsidP="00D46799">
      <w:pPr>
        <w:spacing w:before="100" w:beforeAutospacing="1" w:after="100" w:afterAutospacing="1"/>
        <w:jc w:val="center"/>
        <w:outlineLvl w:val="2"/>
        <w:rPr>
          <w:rFonts w:ascii="Arial" w:eastAsia="Times New Roman" w:hAnsi="Arial" w:cs="Arial"/>
          <w:b/>
          <w:bCs/>
          <w:color w:val="000000"/>
          <w:sz w:val="22"/>
          <w:szCs w:val="22"/>
        </w:rPr>
      </w:pPr>
      <w:r w:rsidRPr="000310D4">
        <w:rPr>
          <w:rFonts w:ascii="Arial" w:eastAsia="Times New Roman" w:hAnsi="Arial" w:cs="Arial"/>
          <w:b/>
          <w:bCs/>
          <w:color w:val="000000"/>
          <w:sz w:val="22"/>
          <w:szCs w:val="22"/>
        </w:rPr>
        <w:t>References</w:t>
      </w:r>
    </w:p>
    <w:p w14:paraId="0F25208F"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American Counseling Association. (2014). </w:t>
      </w:r>
      <w:r w:rsidRPr="000310D4">
        <w:rPr>
          <w:rFonts w:ascii="Arial" w:eastAsia="Times New Roman" w:hAnsi="Arial" w:cs="Arial"/>
          <w:i/>
          <w:iCs/>
          <w:color w:val="000000"/>
          <w:sz w:val="22"/>
          <w:szCs w:val="22"/>
        </w:rPr>
        <w:t>ACA Code of Ethics.</w:t>
      </w:r>
    </w:p>
    <w:p w14:paraId="1E5EC327" w14:textId="77777777" w:rsidR="00D46799" w:rsidRPr="000310D4" w:rsidRDefault="00D46799" w:rsidP="000310D4">
      <w:pPr>
        <w:rPr>
          <w:rFonts w:ascii="Arial" w:eastAsia="Times New Roman" w:hAnsi="Arial" w:cs="Arial"/>
          <w:i/>
          <w:iCs/>
          <w:color w:val="000000"/>
          <w:sz w:val="22"/>
          <w:szCs w:val="22"/>
        </w:rPr>
      </w:pPr>
      <w:r w:rsidRPr="000310D4">
        <w:rPr>
          <w:rFonts w:ascii="Arial" w:eastAsia="Times New Roman" w:hAnsi="Arial" w:cs="Arial"/>
          <w:color w:val="000000"/>
          <w:sz w:val="22"/>
          <w:szCs w:val="22"/>
        </w:rPr>
        <w:t>Council for Accreditation of Counseling and Related Educational Programs. (2024). </w:t>
      </w:r>
      <w:r w:rsidRPr="000310D4">
        <w:rPr>
          <w:rFonts w:ascii="Arial" w:eastAsia="Times New Roman" w:hAnsi="Arial" w:cs="Arial"/>
          <w:i/>
          <w:iCs/>
          <w:color w:val="000000"/>
          <w:sz w:val="22"/>
          <w:szCs w:val="22"/>
        </w:rPr>
        <w:t>CACREP</w:t>
      </w:r>
    </w:p>
    <w:p w14:paraId="3471614C" w14:textId="77777777" w:rsidR="00D46799" w:rsidRPr="000310D4" w:rsidRDefault="00D46799" w:rsidP="000310D4">
      <w:pPr>
        <w:rPr>
          <w:rFonts w:ascii="Arial" w:eastAsia="Times New Roman" w:hAnsi="Arial" w:cs="Arial"/>
          <w:color w:val="000000"/>
          <w:sz w:val="22"/>
          <w:szCs w:val="22"/>
        </w:rPr>
      </w:pPr>
      <w:r w:rsidRPr="000310D4">
        <w:rPr>
          <w:rFonts w:ascii="Arial" w:eastAsia="Times New Roman" w:hAnsi="Arial" w:cs="Arial"/>
          <w:i/>
          <w:iCs/>
          <w:color w:val="000000"/>
          <w:sz w:val="22"/>
          <w:szCs w:val="22"/>
        </w:rPr>
        <w:t xml:space="preserve"> </w:t>
      </w:r>
      <w:r w:rsidRPr="000310D4">
        <w:rPr>
          <w:rFonts w:ascii="Arial" w:eastAsia="Times New Roman" w:hAnsi="Arial" w:cs="Arial"/>
          <w:i/>
          <w:iCs/>
          <w:color w:val="000000"/>
          <w:sz w:val="22"/>
          <w:szCs w:val="22"/>
        </w:rPr>
        <w:tab/>
        <w:t>Standards.</w:t>
      </w:r>
    </w:p>
    <w:p w14:paraId="7CAE67F0" w14:textId="77777777" w:rsidR="00D46799" w:rsidRPr="000310D4" w:rsidRDefault="00D46799" w:rsidP="00D46799">
      <w:pPr>
        <w:spacing w:before="100" w:beforeAutospacing="1" w:after="100" w:afterAutospacing="1"/>
        <w:rPr>
          <w:rFonts w:ascii="Arial" w:eastAsia="Times New Roman" w:hAnsi="Arial" w:cs="Arial"/>
          <w:color w:val="000000"/>
          <w:sz w:val="22"/>
          <w:szCs w:val="22"/>
        </w:rPr>
      </w:pPr>
      <w:r w:rsidRPr="000310D4">
        <w:rPr>
          <w:rFonts w:ascii="Arial" w:eastAsia="Times New Roman" w:hAnsi="Arial" w:cs="Arial"/>
          <w:color w:val="000000"/>
          <w:sz w:val="22"/>
          <w:szCs w:val="22"/>
        </w:rPr>
        <w:t>Goode, W. J. (1960). A theory of role strain. </w:t>
      </w:r>
      <w:r w:rsidRPr="000310D4">
        <w:rPr>
          <w:rFonts w:ascii="Arial" w:eastAsia="Times New Roman" w:hAnsi="Arial" w:cs="Arial"/>
          <w:i/>
          <w:iCs/>
          <w:color w:val="000000"/>
          <w:sz w:val="22"/>
          <w:szCs w:val="22"/>
        </w:rPr>
        <w:t>American Sociological Review, 25</w:t>
      </w:r>
      <w:r w:rsidRPr="000310D4">
        <w:rPr>
          <w:rFonts w:ascii="Arial" w:eastAsia="Times New Roman" w:hAnsi="Arial" w:cs="Arial"/>
          <w:color w:val="000000"/>
          <w:sz w:val="22"/>
          <w:szCs w:val="22"/>
        </w:rPr>
        <w:t>(4), 483–496.</w:t>
      </w:r>
    </w:p>
    <w:p w14:paraId="49D65F64" w14:textId="77777777" w:rsidR="00D46799" w:rsidRPr="000310D4" w:rsidRDefault="00D46799" w:rsidP="000310D4">
      <w:pPr>
        <w:rPr>
          <w:rFonts w:ascii="Arial" w:eastAsia="Times New Roman" w:hAnsi="Arial" w:cs="Arial"/>
          <w:i/>
          <w:iCs/>
          <w:color w:val="000000"/>
          <w:sz w:val="22"/>
          <w:szCs w:val="22"/>
        </w:rPr>
      </w:pPr>
      <w:r w:rsidRPr="000310D4">
        <w:rPr>
          <w:rFonts w:ascii="Arial" w:eastAsia="Times New Roman" w:hAnsi="Arial" w:cs="Arial"/>
          <w:color w:val="000000"/>
          <w:sz w:val="22"/>
          <w:szCs w:val="22"/>
        </w:rPr>
        <w:t>Hanna, F. J., &amp; Bemak, F. (1997). The quest for identity in the counseling profession. </w:t>
      </w:r>
      <w:r w:rsidRPr="000310D4">
        <w:rPr>
          <w:rFonts w:ascii="Arial" w:eastAsia="Times New Roman" w:hAnsi="Arial" w:cs="Arial"/>
          <w:i/>
          <w:iCs/>
          <w:color w:val="000000"/>
          <w:sz w:val="22"/>
          <w:szCs w:val="22"/>
        </w:rPr>
        <w:t>Counselor</w:t>
      </w:r>
    </w:p>
    <w:p w14:paraId="40166D40" w14:textId="77777777" w:rsidR="00D46799" w:rsidRPr="000310D4" w:rsidRDefault="00D46799" w:rsidP="000310D4">
      <w:pPr>
        <w:rPr>
          <w:rFonts w:ascii="Arial" w:eastAsia="Times New Roman" w:hAnsi="Arial" w:cs="Arial"/>
          <w:color w:val="000000"/>
          <w:sz w:val="22"/>
          <w:szCs w:val="22"/>
        </w:rPr>
      </w:pPr>
      <w:r w:rsidRPr="000310D4">
        <w:rPr>
          <w:rFonts w:ascii="Arial" w:eastAsia="Times New Roman" w:hAnsi="Arial" w:cs="Arial"/>
          <w:i/>
          <w:iCs/>
          <w:color w:val="000000"/>
          <w:sz w:val="22"/>
          <w:szCs w:val="22"/>
        </w:rPr>
        <w:t xml:space="preserve"> </w:t>
      </w:r>
      <w:r w:rsidRPr="000310D4">
        <w:rPr>
          <w:rFonts w:ascii="Arial" w:eastAsia="Times New Roman" w:hAnsi="Arial" w:cs="Arial"/>
          <w:i/>
          <w:iCs/>
          <w:color w:val="000000"/>
          <w:sz w:val="22"/>
          <w:szCs w:val="22"/>
        </w:rPr>
        <w:tab/>
        <w:t>Education and Supervision, 36</w:t>
      </w:r>
      <w:r w:rsidRPr="000310D4">
        <w:rPr>
          <w:rFonts w:ascii="Arial" w:eastAsia="Times New Roman" w:hAnsi="Arial" w:cs="Arial"/>
          <w:color w:val="000000"/>
          <w:sz w:val="22"/>
          <w:szCs w:val="22"/>
        </w:rPr>
        <w:t>(3), 194–206.</w:t>
      </w:r>
    </w:p>
    <w:p w14:paraId="42DAAF79" w14:textId="77777777" w:rsidR="000310D4" w:rsidRPr="000310D4" w:rsidRDefault="000310D4" w:rsidP="000310D4">
      <w:pPr>
        <w:rPr>
          <w:rFonts w:ascii="Arial" w:eastAsia="Times New Roman" w:hAnsi="Arial" w:cs="Arial"/>
          <w:color w:val="000000"/>
          <w:sz w:val="22"/>
          <w:szCs w:val="22"/>
        </w:rPr>
      </w:pPr>
    </w:p>
    <w:p w14:paraId="3769F5A2" w14:textId="77777777" w:rsidR="00D46799" w:rsidRPr="000310D4" w:rsidRDefault="00D46799" w:rsidP="000310D4">
      <w:pPr>
        <w:rPr>
          <w:rFonts w:ascii="Arial" w:eastAsia="Times New Roman" w:hAnsi="Arial" w:cs="Arial"/>
          <w:color w:val="000000"/>
          <w:sz w:val="22"/>
          <w:szCs w:val="22"/>
        </w:rPr>
      </w:pPr>
      <w:r w:rsidRPr="000310D4">
        <w:rPr>
          <w:rFonts w:ascii="Arial" w:eastAsia="Times New Roman" w:hAnsi="Arial" w:cs="Arial"/>
          <w:color w:val="000000"/>
          <w:sz w:val="22"/>
          <w:szCs w:val="22"/>
        </w:rPr>
        <w:t>Substance Abuse and Mental Health Services Administration. (2024). Workforce and service</w:t>
      </w:r>
    </w:p>
    <w:p w14:paraId="77012955" w14:textId="77777777" w:rsidR="00D46799" w:rsidRPr="000310D4" w:rsidRDefault="00D46799" w:rsidP="000310D4">
      <w:pPr>
        <w:rPr>
          <w:rFonts w:ascii="Arial" w:eastAsia="Times New Roman" w:hAnsi="Arial" w:cs="Arial"/>
          <w:color w:val="000000"/>
          <w:sz w:val="22"/>
          <w:szCs w:val="22"/>
        </w:rPr>
      </w:pPr>
      <w:r w:rsidRPr="000310D4">
        <w:rPr>
          <w:rFonts w:ascii="Arial" w:eastAsia="Times New Roman" w:hAnsi="Arial" w:cs="Arial"/>
          <w:color w:val="000000"/>
          <w:sz w:val="22"/>
          <w:szCs w:val="22"/>
        </w:rPr>
        <w:t xml:space="preserve"> </w:t>
      </w:r>
      <w:r w:rsidRPr="000310D4">
        <w:rPr>
          <w:rFonts w:ascii="Arial" w:eastAsia="Times New Roman" w:hAnsi="Arial" w:cs="Arial"/>
          <w:color w:val="000000"/>
          <w:sz w:val="22"/>
          <w:szCs w:val="22"/>
        </w:rPr>
        <w:tab/>
        <w:t>delivery reports.</w:t>
      </w:r>
    </w:p>
    <w:p w14:paraId="0FF40107" w14:textId="77777777" w:rsidR="000310D4" w:rsidRPr="000310D4" w:rsidRDefault="000310D4" w:rsidP="000310D4">
      <w:pPr>
        <w:rPr>
          <w:rFonts w:ascii="Arial" w:eastAsia="Times New Roman" w:hAnsi="Arial" w:cs="Arial"/>
          <w:color w:val="000000"/>
          <w:sz w:val="22"/>
          <w:szCs w:val="22"/>
        </w:rPr>
      </w:pPr>
    </w:p>
    <w:p w14:paraId="029B87C9" w14:textId="77777777" w:rsidR="00D46799" w:rsidRPr="000310D4" w:rsidRDefault="00D46799" w:rsidP="000310D4">
      <w:pPr>
        <w:rPr>
          <w:rFonts w:ascii="Arial" w:eastAsia="Times New Roman" w:hAnsi="Arial" w:cs="Arial"/>
          <w:color w:val="000000"/>
          <w:sz w:val="22"/>
          <w:szCs w:val="22"/>
        </w:rPr>
      </w:pPr>
      <w:r w:rsidRPr="000310D4">
        <w:rPr>
          <w:rFonts w:ascii="Arial" w:eastAsia="Times New Roman" w:hAnsi="Arial" w:cs="Arial"/>
          <w:color w:val="000000"/>
          <w:sz w:val="22"/>
          <w:szCs w:val="22"/>
        </w:rPr>
        <w:t>U.S. Department of Education. (2023). Education workforce and student support services.</w:t>
      </w:r>
    </w:p>
    <w:p w14:paraId="63E3DA3A" w14:textId="77777777" w:rsidR="000310D4" w:rsidRPr="000310D4" w:rsidRDefault="000310D4" w:rsidP="000310D4">
      <w:pPr>
        <w:rPr>
          <w:rFonts w:ascii="Arial" w:eastAsia="Times New Roman" w:hAnsi="Arial" w:cs="Arial"/>
          <w:color w:val="000000"/>
          <w:sz w:val="22"/>
          <w:szCs w:val="22"/>
        </w:rPr>
      </w:pPr>
    </w:p>
    <w:p w14:paraId="23B4DEB2" w14:textId="77777777" w:rsidR="00D46799" w:rsidRPr="000310D4" w:rsidRDefault="00D46799" w:rsidP="000310D4">
      <w:pPr>
        <w:rPr>
          <w:rFonts w:ascii="Arial" w:eastAsia="Times New Roman" w:hAnsi="Arial" w:cs="Arial"/>
          <w:i/>
          <w:iCs/>
          <w:color w:val="000000"/>
          <w:sz w:val="22"/>
          <w:szCs w:val="22"/>
        </w:rPr>
      </w:pPr>
      <w:r w:rsidRPr="000310D4">
        <w:rPr>
          <w:rFonts w:ascii="Arial" w:eastAsia="Times New Roman" w:hAnsi="Arial" w:cs="Arial"/>
          <w:color w:val="000000"/>
          <w:sz w:val="22"/>
          <w:szCs w:val="22"/>
        </w:rPr>
        <w:t>Wilensky, H. L. (1964). The professionalization of everyone? </w:t>
      </w:r>
      <w:r w:rsidRPr="000310D4">
        <w:rPr>
          <w:rFonts w:ascii="Arial" w:eastAsia="Times New Roman" w:hAnsi="Arial" w:cs="Arial"/>
          <w:i/>
          <w:iCs/>
          <w:color w:val="000000"/>
          <w:sz w:val="22"/>
          <w:szCs w:val="22"/>
        </w:rPr>
        <w:t>American Journal of Sociology,</w:t>
      </w:r>
    </w:p>
    <w:p w14:paraId="6CD020BD" w14:textId="77777777" w:rsidR="00D46799" w:rsidRPr="000310D4" w:rsidRDefault="00D46799" w:rsidP="000310D4">
      <w:pPr>
        <w:rPr>
          <w:rFonts w:ascii="Arial" w:eastAsia="Times New Roman" w:hAnsi="Arial" w:cs="Arial"/>
          <w:color w:val="000000"/>
          <w:sz w:val="22"/>
          <w:szCs w:val="22"/>
        </w:rPr>
      </w:pPr>
      <w:r w:rsidRPr="000310D4">
        <w:rPr>
          <w:rFonts w:ascii="Arial" w:eastAsia="Times New Roman" w:hAnsi="Arial" w:cs="Arial"/>
          <w:i/>
          <w:iCs/>
          <w:color w:val="000000"/>
          <w:sz w:val="22"/>
          <w:szCs w:val="22"/>
        </w:rPr>
        <w:t xml:space="preserve"> </w:t>
      </w:r>
      <w:r w:rsidRPr="000310D4">
        <w:rPr>
          <w:rFonts w:ascii="Arial" w:eastAsia="Times New Roman" w:hAnsi="Arial" w:cs="Arial"/>
          <w:i/>
          <w:iCs/>
          <w:color w:val="000000"/>
          <w:sz w:val="22"/>
          <w:szCs w:val="22"/>
        </w:rPr>
        <w:tab/>
        <w:t>70</w:t>
      </w:r>
      <w:r w:rsidRPr="000310D4">
        <w:rPr>
          <w:rFonts w:ascii="Arial" w:eastAsia="Times New Roman" w:hAnsi="Arial" w:cs="Arial"/>
          <w:color w:val="000000"/>
          <w:sz w:val="22"/>
          <w:szCs w:val="22"/>
        </w:rPr>
        <w:t>(2), 137–158.</w:t>
      </w:r>
    </w:p>
    <w:p w14:paraId="0784EDD9" w14:textId="77777777" w:rsidR="00D46799" w:rsidRPr="000310D4" w:rsidRDefault="00D46799" w:rsidP="000310D4">
      <w:pPr>
        <w:rPr>
          <w:rFonts w:ascii="Arial" w:hAnsi="Arial" w:cs="Arial"/>
          <w:sz w:val="22"/>
          <w:szCs w:val="22"/>
        </w:rPr>
      </w:pPr>
    </w:p>
    <w:p w14:paraId="66AD86CB" w14:textId="77777777" w:rsidR="008D111C" w:rsidRPr="000310D4" w:rsidRDefault="008D111C" w:rsidP="00DC4AFD">
      <w:pPr>
        <w:jc w:val="center"/>
        <w:rPr>
          <w:rFonts w:ascii="Arial" w:hAnsi="Arial" w:cs="Arial"/>
        </w:rPr>
      </w:pPr>
    </w:p>
    <w:sectPr w:rsidR="008D111C" w:rsidRPr="000310D4" w:rsidSect="001435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7468"/>
    <w:multiLevelType w:val="multilevel"/>
    <w:tmpl w:val="2C18E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0E7CAC"/>
    <w:multiLevelType w:val="multilevel"/>
    <w:tmpl w:val="2CC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869840">
    <w:abstractNumId w:val="0"/>
  </w:num>
  <w:num w:numId="2" w16cid:durableId="53361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51"/>
    <w:rsid w:val="00026312"/>
    <w:rsid w:val="00030D5D"/>
    <w:rsid w:val="000310D4"/>
    <w:rsid w:val="00037C4F"/>
    <w:rsid w:val="00096E3C"/>
    <w:rsid w:val="00142EA2"/>
    <w:rsid w:val="0014355F"/>
    <w:rsid w:val="001C7911"/>
    <w:rsid w:val="00217D92"/>
    <w:rsid w:val="002A2A56"/>
    <w:rsid w:val="002C3768"/>
    <w:rsid w:val="002D66A2"/>
    <w:rsid w:val="00315F58"/>
    <w:rsid w:val="003F7C93"/>
    <w:rsid w:val="00414E42"/>
    <w:rsid w:val="00442027"/>
    <w:rsid w:val="00495D2D"/>
    <w:rsid w:val="004C174A"/>
    <w:rsid w:val="004D12E7"/>
    <w:rsid w:val="005232C1"/>
    <w:rsid w:val="00581864"/>
    <w:rsid w:val="00584D9A"/>
    <w:rsid w:val="005B7859"/>
    <w:rsid w:val="006446F1"/>
    <w:rsid w:val="006525EC"/>
    <w:rsid w:val="006B393C"/>
    <w:rsid w:val="00743DA4"/>
    <w:rsid w:val="00764507"/>
    <w:rsid w:val="007675E9"/>
    <w:rsid w:val="007933BB"/>
    <w:rsid w:val="007B3F3A"/>
    <w:rsid w:val="007F0CA7"/>
    <w:rsid w:val="00837C32"/>
    <w:rsid w:val="00841ADB"/>
    <w:rsid w:val="00877351"/>
    <w:rsid w:val="00885A9F"/>
    <w:rsid w:val="008D111C"/>
    <w:rsid w:val="0091715B"/>
    <w:rsid w:val="00921A64"/>
    <w:rsid w:val="00935651"/>
    <w:rsid w:val="009F69AC"/>
    <w:rsid w:val="00A03CC1"/>
    <w:rsid w:val="00A65BFB"/>
    <w:rsid w:val="00A9257E"/>
    <w:rsid w:val="00B06B4C"/>
    <w:rsid w:val="00B26686"/>
    <w:rsid w:val="00B705DB"/>
    <w:rsid w:val="00B72889"/>
    <w:rsid w:val="00C35A29"/>
    <w:rsid w:val="00CF1697"/>
    <w:rsid w:val="00D46799"/>
    <w:rsid w:val="00D558FD"/>
    <w:rsid w:val="00DA551F"/>
    <w:rsid w:val="00DC4AFD"/>
    <w:rsid w:val="00E70327"/>
    <w:rsid w:val="00EF1AA9"/>
    <w:rsid w:val="00F33432"/>
    <w:rsid w:val="00F8517A"/>
    <w:rsid w:val="00FB6ACD"/>
    <w:rsid w:val="00FD4A61"/>
    <w:rsid w:val="00FF1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6B320"/>
  <w14:defaultImageDpi w14:val="300"/>
  <w15:docId w15:val="{2DFD5137-76A6-4DBB-B227-EB45F21B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6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5651"/>
    <w:rPr>
      <w:rFonts w:ascii="Lucida Grande" w:hAnsi="Lucida Grande" w:cs="Lucida Grande"/>
      <w:sz w:val="18"/>
      <w:szCs w:val="18"/>
    </w:rPr>
  </w:style>
  <w:style w:type="character" w:styleId="Hyperlink">
    <w:name w:val="Hyperlink"/>
    <w:basedOn w:val="DefaultParagraphFont"/>
    <w:uiPriority w:val="99"/>
    <w:unhideWhenUsed/>
    <w:rsid w:val="00026312"/>
    <w:rPr>
      <w:color w:val="0000FF" w:themeColor="hyperlink"/>
      <w:u w:val="single"/>
    </w:rPr>
  </w:style>
  <w:style w:type="character" w:styleId="UnresolvedMention">
    <w:name w:val="Unresolved Mention"/>
    <w:basedOn w:val="DefaultParagraphFont"/>
    <w:uiPriority w:val="99"/>
    <w:semiHidden/>
    <w:unhideWhenUsed/>
    <w:rsid w:val="00026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Duncan</dc:creator>
  <cp:keywords/>
  <dc:description/>
  <cp:lastModifiedBy>KELLY DUNCAN</cp:lastModifiedBy>
  <cp:revision>2</cp:revision>
  <dcterms:created xsi:type="dcterms:W3CDTF">2026-01-13T20:20:00Z</dcterms:created>
  <dcterms:modified xsi:type="dcterms:W3CDTF">2026-01-13T20:20:00Z</dcterms:modified>
</cp:coreProperties>
</file>